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0C0B4"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Address:</w:t>
      </w:r>
      <w:r w:rsidRPr="008118FA">
        <w:rPr>
          <w:rFonts w:cs="Arial"/>
          <w:sz w:val="24"/>
        </w:rPr>
        <w:t>_______________________________________________________________________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No:___________________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 xml:space="preserve">_________  National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2F2173">
        <w:trPr>
          <w:trHeight w:val="51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allowance for fostering a child.</w:t>
            </w: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7F6F3"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C6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2C71"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>We are asking parents and guardians whose children go to school in the Cheshire West and Chester area, have a child in reception, year 1 or year 2 in September 201</w:t>
      </w:r>
      <w:r w:rsidR="000827C4">
        <w:rPr>
          <w:rFonts w:cs="Arial"/>
          <w:sz w:val="24"/>
        </w:rPr>
        <w:t>5</w:t>
      </w:r>
      <w:r w:rsidRPr="002F356A">
        <w:rPr>
          <w:rFonts w:cs="Arial"/>
          <w:sz w:val="24"/>
        </w:rPr>
        <w:t xml:space="preserve"> and have an entitlement to free school meals to complete this form.  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0827C4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2F356A" w:rsidRPr="002F356A">
        <w:rPr>
          <w:rFonts w:cs="Arial"/>
          <w:sz w:val="24"/>
        </w:rPr>
        <w:t>pupils in these year groups will be able to receive a school meal at no cost to the parent/guardian.  We need to ensure that all parents/guardians that have a statutory entitlement to a free school meal complete this form.  We will then be able to confirm whether the school is entitled to claim the pupil premium for your child.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2015</w:t>
      </w:r>
      <w:r w:rsidR="00470E68">
        <w:rPr>
          <w:rFonts w:cs="Arial"/>
          <w:bCs/>
          <w:sz w:val="24"/>
        </w:rPr>
        <w:t>/201</w:t>
      </w:r>
      <w:r w:rsidR="000827C4">
        <w:rPr>
          <w:rFonts w:cs="Arial"/>
          <w:bCs/>
          <w:sz w:val="24"/>
        </w:rPr>
        <w:t>6</w:t>
      </w:r>
      <w:r w:rsidR="00470E68">
        <w:rPr>
          <w:rFonts w:cs="Arial"/>
          <w:bCs/>
          <w:sz w:val="24"/>
        </w:rPr>
        <w:t xml:space="preserve"> this is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>on the reverse of this letter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2F356A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D7660"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Your child may be entitled to receive free school meals if you are entitled to receive one of the following:</w:t>
      </w: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Child Tax Credit,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0827C4" w:rsidRPr="000827C4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Universal Credit</w:t>
      </w:r>
    </w:p>
    <w:p w:rsidR="002F356A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03" w:rsidRDefault="00424803" w:rsidP="00637DC5">
      <w:r>
        <w:separator/>
      </w:r>
    </w:p>
  </w:endnote>
  <w:endnote w:type="continuationSeparator" w:id="0">
    <w:p w:rsidR="00424803" w:rsidRDefault="00424803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6711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03" w:rsidRDefault="00424803" w:rsidP="00637DC5">
      <w:r>
        <w:separator/>
      </w:r>
    </w:p>
  </w:footnote>
  <w:footnote w:type="continuationSeparator" w:id="0">
    <w:p w:rsidR="00424803" w:rsidRDefault="00424803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E08FE"/>
    <w:rsid w:val="002F2173"/>
    <w:rsid w:val="002F356A"/>
    <w:rsid w:val="003E4E9F"/>
    <w:rsid w:val="00424803"/>
    <w:rsid w:val="0046221E"/>
    <w:rsid w:val="00470E68"/>
    <w:rsid w:val="00475918"/>
    <w:rsid w:val="00481B52"/>
    <w:rsid w:val="004B49BB"/>
    <w:rsid w:val="004D573E"/>
    <w:rsid w:val="0057105E"/>
    <w:rsid w:val="00593711"/>
    <w:rsid w:val="006173A5"/>
    <w:rsid w:val="00637DC5"/>
    <w:rsid w:val="00644EC5"/>
    <w:rsid w:val="00726FA3"/>
    <w:rsid w:val="007345E7"/>
    <w:rsid w:val="007562D4"/>
    <w:rsid w:val="00760922"/>
    <w:rsid w:val="007D290D"/>
    <w:rsid w:val="00815533"/>
    <w:rsid w:val="00901A18"/>
    <w:rsid w:val="00932D85"/>
    <w:rsid w:val="009D3631"/>
    <w:rsid w:val="00B8406B"/>
    <w:rsid w:val="00C00424"/>
    <w:rsid w:val="00C36A99"/>
    <w:rsid w:val="00D2446A"/>
    <w:rsid w:val="00DA606D"/>
    <w:rsid w:val="00F4451B"/>
    <w:rsid w:val="00F62F83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286AA-814A-4A34-AD18-B571395B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9E73-D368-46DD-8C2C-ECADCB80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Liz Smith</cp:lastModifiedBy>
  <cp:revision>2</cp:revision>
  <cp:lastPrinted>2014-05-14T11:30:00Z</cp:lastPrinted>
  <dcterms:created xsi:type="dcterms:W3CDTF">2021-05-08T15:40:00Z</dcterms:created>
  <dcterms:modified xsi:type="dcterms:W3CDTF">2021-05-08T15:40:00Z</dcterms:modified>
</cp:coreProperties>
</file>